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Уровень знания русского языка, достаточный для освоения образовательных программ начального общего образования, для поступающих в 3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на слух монологическое высказывание объемом 3 - 4 предложения, описывающее ситуацию социально-бытового характера.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прослушанный художественный текст объемом не более 40 - 45 слов, отвечать на вопросы (не менее 3) по содержанию текста.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Говорение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значение русского языка как государственного языка Российской Федерации.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Строить устное монологическое высказывание (2 - 3 предложения) на тему, связанную с ситуациями социально-бытового общения.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Устно пересказывать прослушанный текст (объем исходного текста 40 - 45 слов) с соблюдением последовательности событий.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Чтение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Читать вслух текст объемом не более 40 - 45 слов с соблюдением интонации в соответствии со знаками препинания в конце предложения.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 содержание прочитанного текста, отвечать на вопросы (не менее 3) по содержанию текста.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Определять тему текста и озаглавливать текст, отражая его тему.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3.4. Письмо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Письменно составлять текст из предложений, частей текста.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3.5. Лексика. Грамматика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Выявлять в тексте многозначные слова, синонимы и антонимы (простые случаи, без называния терминов).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Находить в ряду слов однокоренные слова.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Распознавать слова, отвечающие на вопросы "кто?", "что?"; "какой?", "какая?", "какое?", "какие?"; "что делать?", "что сделать?".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